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11</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53538</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25-29 August 2025, Goteborg, Sweden</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ascii="Arial" w:hAnsi="Arial" w:eastAsia="宋体" w:cs="Arial"/>
          <w:i/>
          <w:sz w:val="24"/>
          <w:szCs w:val="24"/>
          <w:lang w:val="en-US" w:eastAsia="zh-CN"/>
        </w:rPr>
        <w:t>53104r</w:t>
      </w:r>
      <w:r>
        <w:rPr>
          <w:rFonts w:hint="eastAsia" w:ascii="Arial" w:hAnsi="Arial" w:eastAsia="宋体" w:cs="Arial"/>
          <w:i/>
          <w:sz w:val="24"/>
          <w:szCs w:val="24"/>
          <w:lang w:val="en-US" w:eastAsia="zh-CN"/>
        </w:rPr>
        <w:t>3</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cs="Arial"/>
          <w:sz w:val="24"/>
          <w:szCs w:val="24"/>
          <w:lang w:val="en-US" w:eastAsia="zh-CN"/>
        </w:rPr>
        <w:t xml:space="preserve">Use case on </w:t>
      </w:r>
      <w:r>
        <w:rPr>
          <w:rFonts w:ascii="Arial" w:hAnsi="Arial" w:eastAsia="宋体" w:cs="Arial"/>
          <w:sz w:val="24"/>
          <w:szCs w:val="24"/>
          <w:lang w:val="en-US" w:eastAsia="zh-CN"/>
        </w:rPr>
        <w:t>Industrial IoT</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8.1.8</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Telecom</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tabs>
          <w:tab w:val="left" w:pos="1701"/>
        </w:tabs>
        <w:overflowPunct w:val="0"/>
        <w:autoSpaceDE w:val="0"/>
        <w:autoSpaceDN w:val="0"/>
        <w:adjustRightInd w:val="0"/>
        <w:ind w:firstLine="1680" w:firstLineChars="700"/>
        <w:textAlignment w:val="baseline"/>
        <w:rPr>
          <w:rFonts w:ascii="Arial" w:hAnsi="Arial" w:eastAsia="宋体"/>
          <w:sz w:val="24"/>
          <w:szCs w:val="24"/>
          <w:lang w:val="en-US" w:eastAsia="zh-CN"/>
        </w:rPr>
      </w:pPr>
      <w:r>
        <w:rPr>
          <w:rFonts w:hint="eastAsia" w:ascii="Arial" w:hAnsi="Arial" w:eastAsia="宋体"/>
          <w:sz w:val="24"/>
          <w:szCs w:val="24"/>
          <w:lang w:val="en-US" w:eastAsia="zh-CN"/>
        </w:rPr>
        <w:t>Xu Xia   (xiaxu@chinatelecom.cn)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This contribution proposes a use case about </w:t>
      </w:r>
      <w:r>
        <w:rPr>
          <w:rFonts w:ascii="Arial" w:hAnsi="Arial" w:eastAsia="宋体" w:cs="Arial"/>
          <w:i/>
          <w:sz w:val="22"/>
          <w:szCs w:val="22"/>
          <w:lang w:val="en-US" w:eastAsia="zh-CN"/>
        </w:rPr>
        <w:t xml:space="preserve">Industrial IoT, which ensure the SLA for industrial IoT by means of the </w:t>
      </w:r>
      <w:r>
        <w:rPr>
          <w:rFonts w:ascii="Arial" w:hAnsi="Arial" w:eastAsia="宋体" w:cs="Arial"/>
          <w:color w:val="000000"/>
          <w:sz w:val="22"/>
          <w:szCs w:val="22"/>
          <w:lang w:val="en-US" w:eastAsia="zh-CN"/>
        </w:rPr>
        <w:t xml:space="preserve">slice performance exposure and slice resource adjustment. </w:t>
      </w:r>
    </w:p>
    <w:p>
      <w:pPr>
        <w:spacing w:after="200" w:line="276" w:lineRule="auto"/>
        <w:rPr>
          <w:rFonts w:ascii="Arial" w:hAnsi="Arial" w:eastAsia="Calibri" w:cs="Arial"/>
          <w:i/>
          <w:sz w:val="22"/>
          <w:szCs w:val="22"/>
        </w:rPr>
      </w:pPr>
    </w:p>
    <w:p>
      <w:r>
        <w:rPr>
          <w:rFonts w:hint="eastAsia" w:eastAsia="宋体"/>
          <w:lang w:eastAsia="zh-CN"/>
        </w:rPr>
        <w:t>*</w:t>
      </w:r>
      <w:r>
        <w:rPr>
          <w:rFonts w:eastAsia="宋体"/>
          <w:lang w:eastAsia="zh-CN"/>
        </w:rPr>
        <w:t>*********************** New Use Case ***********************************</w:t>
      </w:r>
    </w:p>
    <w:p>
      <w:pPr>
        <w:pStyle w:val="3"/>
        <w:rPr>
          <w:lang w:val="en-US"/>
        </w:rPr>
      </w:pPr>
      <w:r>
        <w:rPr>
          <w:rFonts w:hint="eastAsia"/>
          <w:lang w:val="en-US" w:eastAsia="zh-CN"/>
        </w:rPr>
        <w:t>11</w:t>
      </w:r>
      <w:r>
        <w:t>.</w:t>
      </w:r>
      <w:r>
        <w:rPr>
          <w:rFonts w:hint="eastAsia"/>
          <w:lang w:val="en-US" w:eastAsia="zh-CN"/>
        </w:rPr>
        <w:t>x</w:t>
      </w:r>
      <w:r>
        <w:tab/>
      </w:r>
      <w:r>
        <w:t xml:space="preserve">Use case </w:t>
      </w:r>
      <w:r>
        <w:rPr>
          <w:lang w:val="en-US"/>
        </w:rPr>
        <w:t xml:space="preserve">on </w:t>
      </w:r>
      <w:r>
        <w:rPr>
          <w:rFonts w:hint="eastAsia" w:eastAsia="宋体"/>
          <w:lang w:val="en-US" w:eastAsia="zh-CN"/>
        </w:rPr>
        <w:t>Industrial IoT</w:t>
      </w:r>
    </w:p>
    <w:p>
      <w:pPr>
        <w:pStyle w:val="4"/>
        <w:rPr>
          <w:lang w:val="en-US"/>
        </w:rPr>
      </w:pPr>
      <w:r>
        <w:rPr>
          <w:rFonts w:hint="eastAsia"/>
          <w:lang w:val="en-US" w:eastAsia="zh-CN"/>
        </w:rPr>
        <w:t>11</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color w:val="000000"/>
          <w:szCs w:val="24"/>
          <w:lang w:val="en-US" w:eastAsia="zh-CN"/>
        </w:rPr>
      </w:pPr>
      <w:r>
        <w:rPr>
          <w:rFonts w:hint="eastAsia" w:eastAsia="宋体"/>
          <w:color w:val="000000"/>
          <w:szCs w:val="24"/>
          <w:lang w:val="en-US" w:eastAsia="zh-CN"/>
        </w:rPr>
        <w:t xml:space="preserve">Network slicing allows operators to create multiple virtual networks (slices) on top of a shared physical infrastructure. Each slice can be optimized for specific use cases or customer requirements. Service Level Agreement (SLA) assurance for these slices is crucial for maintaining quality of service and meeting customer expectations. Here the SLA may be defined </w:t>
      </w:r>
      <w:r>
        <w:rPr>
          <w:rFonts w:hint="eastAsia"/>
          <w:color w:val="000000"/>
          <w:szCs w:val="24"/>
        </w:rPr>
        <w:t xml:space="preserve">in terms of </w:t>
      </w:r>
      <w:r>
        <w:rPr>
          <w:rFonts w:hint="eastAsia" w:eastAsia="宋体"/>
          <w:color w:val="000000"/>
          <w:szCs w:val="24"/>
          <w:lang w:val="en-US" w:eastAsia="zh-CN"/>
        </w:rPr>
        <w:t xml:space="preserve">guaranteed minimum </w:t>
      </w:r>
      <w:r>
        <w:rPr>
          <w:rFonts w:hint="eastAsia"/>
          <w:color w:val="000000"/>
          <w:szCs w:val="24"/>
        </w:rPr>
        <w:t xml:space="preserve">throughput, energy efficiency, </w:t>
      </w:r>
      <w:r>
        <w:rPr>
          <w:rFonts w:hint="eastAsia" w:eastAsia="宋体"/>
          <w:color w:val="000000"/>
          <w:szCs w:val="24"/>
          <w:lang w:val="en-US" w:eastAsia="zh-CN"/>
        </w:rPr>
        <w:t xml:space="preserve">maximum </w:t>
      </w:r>
      <w:r>
        <w:rPr>
          <w:rFonts w:hint="eastAsia"/>
          <w:color w:val="000000"/>
          <w:szCs w:val="24"/>
        </w:rPr>
        <w:t xml:space="preserve">latency and reliability </w:t>
      </w:r>
      <w:r>
        <w:rPr>
          <w:rFonts w:hint="eastAsia" w:eastAsia="宋体"/>
          <w:color w:val="000000"/>
          <w:szCs w:val="24"/>
          <w:lang w:val="en-US" w:eastAsia="zh-CN"/>
        </w:rPr>
        <w:t xml:space="preserve">metrics. </w:t>
      </w:r>
      <w:r>
        <w:rPr>
          <w:rFonts w:hint="eastAsia" w:eastAsia="宋体"/>
          <w:lang w:val="en-US" w:eastAsia="zh-CN" w:bidi="ar"/>
        </w:rPr>
        <w:t xml:space="preserve">For industrial scenario, </w:t>
      </w:r>
      <w:r>
        <w:t>dedicated network slice</w:t>
      </w:r>
      <w:r>
        <w:rPr>
          <w:rFonts w:hint="eastAsia" w:eastAsia="宋体"/>
          <w:lang w:val="en-US" w:eastAsia="zh-CN"/>
        </w:rPr>
        <w:t>s</w:t>
      </w:r>
      <w:r>
        <w:t xml:space="preserve"> </w:t>
      </w:r>
      <w:r>
        <w:rPr>
          <w:rFonts w:hint="eastAsia"/>
          <w:lang w:val="en-US" w:eastAsia="zh-CN"/>
        </w:rPr>
        <w:t xml:space="preserve">can be </w:t>
      </w:r>
      <w:r>
        <w:t>deploy</w:t>
      </w:r>
      <w:r>
        <w:rPr>
          <w:rFonts w:hint="eastAsia"/>
          <w:lang w:val="en-US" w:eastAsia="zh-CN"/>
        </w:rPr>
        <w:t>ed</w:t>
      </w:r>
      <w:r>
        <w:t xml:space="preserve"> </w:t>
      </w:r>
      <w:r>
        <w:rPr>
          <w:rFonts w:hint="eastAsia"/>
          <w:lang w:val="en-US" w:eastAsia="zh-CN"/>
        </w:rPr>
        <w:t xml:space="preserve">which requires </w:t>
      </w:r>
      <w:r>
        <w:rPr>
          <w:rFonts w:eastAsia="宋体"/>
          <w:color w:val="000000"/>
          <w:szCs w:val="24"/>
          <w:lang w:val="en-US" w:eastAsia="zh-CN"/>
        </w:rPr>
        <w:t xml:space="preserve">ultra-low latency, high reliability, and guaranteed bandwidth to ensure the safety and success of the </w:t>
      </w:r>
      <w:r>
        <w:rPr>
          <w:rFonts w:hint="eastAsia" w:eastAsia="宋体"/>
          <w:color w:val="000000"/>
          <w:szCs w:val="24"/>
          <w:lang w:val="en-US" w:eastAsia="zh-CN"/>
        </w:rPr>
        <w:t>industry</w:t>
      </w:r>
      <w:r>
        <w:rPr>
          <w:rFonts w:eastAsia="宋体"/>
          <w:color w:val="000000"/>
          <w:szCs w:val="24"/>
          <w:lang w:val="en-US" w:eastAsia="zh-CN"/>
        </w:rPr>
        <w:t>.</w:t>
      </w:r>
      <w:r>
        <w:rPr>
          <w:rFonts w:hint="eastAsia"/>
          <w:color w:val="000000"/>
          <w:szCs w:val="24"/>
          <w:lang w:val="en-US" w:eastAsia="zh-CN"/>
        </w:rPr>
        <w:t xml:space="preserve"> The SLA of industry slice may be mapped to various parameters, such as resource type, QoS parameters and slice specific metrics. Network should be aware of the slice specific requirements and take this information into account to make resource allocation decisions for each slice.</w:t>
      </w:r>
    </w:p>
    <w:p>
      <w:pPr>
        <w:numPr>
          <w:ilvl w:val="255"/>
          <w:numId w:val="0"/>
        </w:numPr>
        <w:jc w:val="both"/>
        <w:rPr>
          <w:color w:val="000000"/>
          <w:szCs w:val="24"/>
          <w:lang w:val="en-US" w:eastAsia="zh-CN"/>
        </w:rPr>
      </w:pPr>
      <w:r>
        <w:rPr>
          <w:rFonts w:hint="eastAsia"/>
          <w:color w:val="000000"/>
          <w:szCs w:val="24"/>
          <w:lang w:val="en-US" w:eastAsia="zh-CN"/>
        </w:rPr>
        <w:t xml:space="preserve">From the perspective of third party, it is desired to monitor the slice level performance. For example, the third party should be able to detect the slice level latency, radio resource usage, and reliability. Here the slice level latency and reliability is the average latency or reliability of the user traffic belonging to a given slice. The slice level radio of PRB usage denotes the ratio of PRB allocated for a given slice. </w:t>
      </w:r>
    </w:p>
    <w:p>
      <w:pPr>
        <w:numPr>
          <w:ilvl w:val="255"/>
          <w:numId w:val="0"/>
        </w:numPr>
        <w:jc w:val="both"/>
        <w:rPr>
          <w:rFonts w:ascii="Segoe UI" w:hAnsi="Segoe UI" w:eastAsia="宋体" w:cs="Segoe UI"/>
          <w:color w:val="000000"/>
          <w:sz w:val="18"/>
          <w:szCs w:val="18"/>
          <w:shd w:val="clear" w:color="auto" w:fill="F7F7F7"/>
          <w:lang w:val="en-US" w:eastAsia="zh-CN"/>
        </w:rPr>
      </w:pPr>
      <w:r>
        <w:rPr>
          <w:rFonts w:hint="eastAsia"/>
          <w:color w:val="000000"/>
          <w:szCs w:val="24"/>
          <w:lang w:val="en-US" w:eastAsia="zh-CN"/>
        </w:rPr>
        <w:t xml:space="preserve">If the network performance is approaching SLA thresholds, it may automatically requests additional resources from the network. On the other hand, the network performance data can be analyzed using AI model to predict potential issues. If a possible future SLA breach is predicted, it may proactively fine-tune its industry control system or requests resource adjustment. For example, </w:t>
      </w:r>
      <w:r>
        <w:rPr>
          <w:rFonts w:hint="eastAsia" w:eastAsia="宋体"/>
          <w:color w:val="000000"/>
          <w:szCs w:val="24"/>
          <w:lang w:val="en-US" w:eastAsia="zh-CN"/>
        </w:rPr>
        <w:t xml:space="preserve">some adjustment on </w:t>
      </w:r>
      <w:r>
        <w:rPr>
          <w:rFonts w:eastAsia="宋体"/>
          <w:color w:val="000000"/>
          <w:szCs w:val="24"/>
          <w:lang w:val="en-US" w:eastAsia="zh-CN"/>
        </w:rPr>
        <w:t xml:space="preserve"> bandwidth or computing resources</w:t>
      </w:r>
      <w:r>
        <w:rPr>
          <w:rFonts w:hint="eastAsia" w:eastAsia="宋体"/>
          <w:color w:val="000000"/>
          <w:szCs w:val="24"/>
          <w:lang w:val="en-US" w:eastAsia="zh-CN"/>
        </w:rPr>
        <w:t xml:space="preserve"> can be made</w:t>
      </w:r>
      <w:r>
        <w:rPr>
          <w:rFonts w:eastAsia="宋体"/>
          <w:color w:val="000000"/>
          <w:szCs w:val="24"/>
          <w:lang w:val="en-US" w:eastAsia="zh-CN"/>
        </w:rPr>
        <w:t xml:space="preserve"> to maintain performance</w:t>
      </w:r>
      <w:r>
        <w:rPr>
          <w:rFonts w:hint="eastAsia"/>
          <w:color w:val="000000"/>
          <w:szCs w:val="24"/>
          <w:lang w:val="en-US" w:eastAsia="zh-CN"/>
        </w:rPr>
        <w:t xml:space="preserve"> of this slice.</w:t>
      </w:r>
    </w:p>
    <w:p>
      <w:pPr>
        <w:jc w:val="both"/>
        <w:rPr>
          <w:rFonts w:eastAsia="宋体"/>
          <w:color w:val="000000"/>
          <w:szCs w:val="24"/>
          <w:lang w:val="en-US" w:eastAsia="zh-CN"/>
        </w:rPr>
      </w:pPr>
      <w:r>
        <w:rPr>
          <w:rFonts w:hint="eastAsia" w:eastAsia="宋体"/>
          <w:color w:val="000000"/>
          <w:szCs w:val="24"/>
          <w:lang w:val="en-US" w:eastAsia="zh-CN"/>
        </w:rPr>
        <w:t xml:space="preserve">Based on the slice performance information exposure and slice resource adjustment, </w:t>
      </w:r>
      <w:r>
        <w:rPr>
          <w:rFonts w:hint="eastAsia"/>
          <w:color w:val="000000"/>
          <w:szCs w:val="24"/>
        </w:rPr>
        <w:t xml:space="preserve">precise </w:t>
      </w:r>
      <w:r>
        <w:rPr>
          <w:rFonts w:hint="eastAsia" w:eastAsia="宋体"/>
          <w:color w:val="000000"/>
          <w:szCs w:val="24"/>
          <w:lang w:val="en-US" w:eastAsia="zh-CN"/>
        </w:rPr>
        <w:t>slice performance</w:t>
      </w:r>
      <w:r>
        <w:rPr>
          <w:rFonts w:hint="eastAsia"/>
          <w:color w:val="000000"/>
          <w:szCs w:val="24"/>
        </w:rPr>
        <w:t xml:space="preserve"> assurance for </w:t>
      </w:r>
      <w:r>
        <w:rPr>
          <w:rFonts w:hint="eastAsia" w:eastAsia="宋体"/>
          <w:color w:val="000000"/>
          <w:szCs w:val="24"/>
          <w:lang w:val="en-US" w:eastAsia="zh-CN"/>
        </w:rPr>
        <w:t>industrial scenarios can be ensured</w:t>
      </w:r>
      <w:r>
        <w:rPr>
          <w:rFonts w:hint="eastAsia"/>
          <w:color w:val="000000"/>
          <w:szCs w:val="24"/>
        </w:rPr>
        <w:t>.</w:t>
      </w:r>
    </w:p>
    <w:p>
      <w:pPr>
        <w:pStyle w:val="4"/>
        <w:rPr>
          <w:lang w:val="en-US"/>
        </w:rPr>
      </w:pPr>
      <w:r>
        <w:rPr>
          <w:rFonts w:hint="eastAsia"/>
          <w:lang w:val="en-US" w:eastAsia="zh-CN"/>
        </w:rPr>
        <w:t>11</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jc w:val="both"/>
        <w:rPr>
          <w:lang w:val="en-US"/>
        </w:rPr>
      </w:pPr>
      <w:r>
        <w:rPr>
          <w:rFonts w:hint="eastAsia"/>
          <w:lang w:val="en-US" w:eastAsia="zh-CN" w:bidi="ar"/>
        </w:rPr>
        <w:t>A seaport uses a combination of autonomous cranes, self-driving trucks, and automated guided vehicles (AGVs) to handle cargo. The 6G system has been utilized to enhance the seaport</w:t>
      </w:r>
      <w:r>
        <w:rPr>
          <w:lang w:val="en-US" w:eastAsia="zh-CN" w:bidi="ar"/>
        </w:rPr>
        <w:t>’</w:t>
      </w:r>
      <w:r>
        <w:rPr>
          <w:rFonts w:hint="eastAsia"/>
          <w:lang w:val="en-US" w:eastAsia="zh-CN" w:bidi="ar"/>
        </w:rPr>
        <w:t xml:space="preserve">s operations. The 6G system is operated by operator A. </w:t>
      </w:r>
    </w:p>
    <w:p>
      <w:pPr>
        <w:pStyle w:val="4"/>
        <w:numPr>
          <w:ilvl w:val="255"/>
          <w:numId w:val="0"/>
        </w:numPr>
        <w:rPr>
          <w:lang w:val="en-US"/>
        </w:rPr>
      </w:pPr>
      <w:r>
        <w:rPr>
          <w:rFonts w:hint="eastAsia"/>
          <w:lang w:val="en-US" w:eastAsia="zh-CN"/>
        </w:rPr>
        <w:t>11.x</w:t>
      </w:r>
      <w:r>
        <w:rPr>
          <w:lang w:val="en-US"/>
        </w:rPr>
        <w:t>.3</w:t>
      </w:r>
      <w:r>
        <w:rPr>
          <w:lang w:val="en-US"/>
        </w:rPr>
        <w:tab/>
      </w:r>
      <w:r>
        <w:rPr>
          <w:rFonts w:eastAsia="宋体"/>
          <w:lang w:val="en-US" w:eastAsia="zh-CN"/>
        </w:rPr>
        <w:t xml:space="preserve"> </w:t>
      </w:r>
      <w:r>
        <w:rPr>
          <w:lang w:val="en-US"/>
        </w:rPr>
        <w:t>Service Flows</w:t>
      </w:r>
    </w:p>
    <w:p>
      <w:pPr>
        <w:numPr>
          <w:ilvl w:val="0"/>
          <w:numId w:val="1"/>
        </w:numPr>
        <w:jc w:val="both"/>
        <w:rPr>
          <w:lang w:val="en-US" w:eastAsia="zh-CN" w:bidi="ar"/>
        </w:rPr>
      </w:pPr>
      <w:r>
        <w:rPr>
          <w:rFonts w:hint="eastAsia"/>
          <w:lang w:val="en-US" w:eastAsia="zh-CN" w:bidi="ar"/>
        </w:rPr>
        <w:t>According to the characteristics of seaport, different network slices for different purposes are deployed. For example, URLLC slice for real-time control of autonomous vehicles and cranes, mMTC slice for IoT sensors monitoring of cargo and environmental conditions, eMBB slice for high-resolution video surveillance and augmented reality applications used by human operators, sensing slice for precise positioning and collision avoidance of vehicles.</w:t>
      </w:r>
    </w:p>
    <w:p>
      <w:pPr>
        <w:numPr>
          <w:ilvl w:val="0"/>
          <w:numId w:val="1"/>
        </w:numPr>
        <w:jc w:val="both"/>
        <w:rPr>
          <w:lang w:val="en-US" w:eastAsia="zh-CN" w:bidi="ar"/>
        </w:rPr>
      </w:pPr>
      <w:r>
        <w:rPr>
          <w:rFonts w:hint="eastAsia"/>
          <w:lang w:val="en-US" w:eastAsia="zh-CN" w:bidi="ar"/>
        </w:rPr>
        <w:t xml:space="preserve">The seaport system continuously monitors the network performance of these slices. </w:t>
      </w:r>
    </w:p>
    <w:p>
      <w:pPr>
        <w:numPr>
          <w:ilvl w:val="0"/>
          <w:numId w:val="1"/>
        </w:numPr>
        <w:jc w:val="both"/>
        <w:rPr>
          <w:lang w:val="en-US" w:eastAsia="zh-CN" w:bidi="ar"/>
        </w:rPr>
      </w:pPr>
      <w:r>
        <w:rPr>
          <w:rFonts w:hint="eastAsia"/>
          <w:lang w:val="en-US" w:eastAsia="zh-CN" w:bidi="ar"/>
        </w:rPr>
        <w:t xml:space="preserve">The seaport is experiencing a surge in activity due to the arrival of several large container ships. Simultaneously, a foggy weather condition is reducing visibility which affects the operation of autonomous vehicles. Therefore, increased latency due to network congestion is detected in the URLLC slice and reduced accuracy due to foggy conditions is detected in the sensing slice. Meanwhile, higher demand on the eMBB slice is expected as human operators rely more on video feeds. </w:t>
      </w:r>
    </w:p>
    <w:p>
      <w:pPr>
        <w:numPr>
          <w:ilvl w:val="0"/>
          <w:numId w:val="1"/>
        </w:numPr>
        <w:jc w:val="both"/>
        <w:rPr>
          <w:lang w:val="en-US" w:eastAsia="zh-CN" w:bidi="ar"/>
        </w:rPr>
      </w:pPr>
      <w:r>
        <w:rPr>
          <w:rFonts w:hint="eastAsia"/>
          <w:lang w:val="en-US" w:eastAsia="zh-CN" w:bidi="ar"/>
        </w:rPr>
        <w:t xml:space="preserve">Based on the real-time network performance monitoring and AI analysis, the seaport system determines to adjust the slice specific parameters/configurations, e.g. increase spectrum allocation by 25%, adjust the ratio of PRBs allocated for different slices, adjust beamforming patterns to focus on areas with autonomous vehicle activity, adjust sensor reporting intervals based on criticality and current port activity, prioritize AR data for critical operational areas, etc. </w:t>
      </w:r>
    </w:p>
    <w:p>
      <w:pPr>
        <w:numPr>
          <w:ilvl w:val="0"/>
          <w:numId w:val="1"/>
        </w:numPr>
        <w:jc w:val="both"/>
        <w:rPr>
          <w:lang w:val="en-US" w:eastAsia="zh-CN" w:bidi="ar"/>
        </w:rPr>
      </w:pPr>
      <w:r>
        <w:rPr>
          <w:rFonts w:hint="eastAsia"/>
          <w:lang w:val="en-US" w:eastAsia="zh-CN" w:bidi="ar"/>
        </w:rPr>
        <w:t>After the adjustment of slice specific parameters/configurations, URLLC latency stabilizes at 1ms with 99.9999% reliability. Sensing slice maintains vehicle positioning accuracy despite fog. eMBB slice manages to support increased video usage without significant quality degradation.</w:t>
      </w:r>
    </w:p>
    <w:p>
      <w:pPr>
        <w:numPr>
          <w:ilvl w:val="0"/>
          <w:numId w:val="1"/>
        </w:numPr>
        <w:jc w:val="both"/>
        <w:rPr>
          <w:lang w:val="en-US" w:eastAsia="zh-CN"/>
        </w:rPr>
      </w:pPr>
      <w:r>
        <w:rPr>
          <w:rFonts w:hint="eastAsia"/>
          <w:lang w:val="en-US" w:eastAsia="zh-CN" w:bidi="ar"/>
        </w:rPr>
        <w:t xml:space="preserve">The seaport system continuously learns from the outcomes of its adjustments, refining its decision-making processes for long term seaport operations. </w:t>
      </w:r>
    </w:p>
    <w:p>
      <w:pPr>
        <w:pStyle w:val="4"/>
        <w:rPr>
          <w:lang w:val="en-US"/>
        </w:rPr>
      </w:pPr>
      <w:r>
        <w:rPr>
          <w:rFonts w:hint="eastAsia"/>
          <w:lang w:val="en-US" w:eastAsia="zh-CN"/>
        </w:rPr>
        <w:t>11</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jc w:val="both"/>
        <w:rPr>
          <w:lang w:val="en-US" w:eastAsia="zh-CN" w:bidi="ar"/>
        </w:rPr>
      </w:pPr>
      <w:r>
        <w:rPr>
          <w:rFonts w:hint="eastAsia"/>
          <w:lang w:val="en-US" w:eastAsia="zh-CN" w:bidi="ar"/>
        </w:rPr>
        <w:t>Through this dynamic network performance monitoring and adjustment process, the seaport maintains optimal performance across all its network slices despite the challenging weather conditions and increased operational demands</w:t>
      </w:r>
      <w:r>
        <w:rPr>
          <w:rFonts w:hint="eastAsia"/>
          <w:lang w:val="en-US" w:eastAsia="zh-CN"/>
        </w:rPr>
        <w:t>.</w:t>
      </w:r>
      <w:r>
        <w:rPr>
          <w:lang w:val="en-US" w:eastAsia="zh-CN" w:bidi="ar"/>
        </w:rPr>
        <w:t xml:space="preserve"> </w:t>
      </w:r>
      <w:r>
        <w:rPr>
          <w:rFonts w:hint="eastAsia"/>
          <w:lang w:val="en-US" w:eastAsia="zh-CN"/>
        </w:rPr>
        <w:t xml:space="preserve"> </w:t>
      </w:r>
    </w:p>
    <w:p>
      <w:pPr>
        <w:pStyle w:val="4"/>
        <w:ind w:left="1198" w:hanging="1198" w:hangingChars="428"/>
        <w:rPr>
          <w:lang w:val="en-US" w:eastAsia="zh-CN"/>
        </w:rPr>
      </w:pPr>
      <w:r>
        <w:rPr>
          <w:rFonts w:hint="eastAsia"/>
          <w:lang w:val="en-US" w:eastAsia="zh-CN"/>
        </w:rPr>
        <w:t>11</w:t>
      </w:r>
      <w:r>
        <w:rPr>
          <w:lang w:val="en-US"/>
        </w:rPr>
        <w:t>.</w:t>
      </w:r>
      <w:r>
        <w:rPr>
          <w:rFonts w:hint="eastAsia"/>
          <w:lang w:val="en-US" w:eastAsia="zh-CN"/>
        </w:rPr>
        <w:t>x</w:t>
      </w:r>
      <w:r>
        <w:rPr>
          <w:lang w:val="en-US"/>
        </w:rPr>
        <w:t>.5</w:t>
      </w:r>
      <w:r>
        <w:rPr>
          <w:lang w:val="en-US"/>
        </w:rPr>
        <w:tab/>
      </w:r>
      <w:r>
        <w:rPr>
          <w:lang w:val="en-US"/>
        </w:rPr>
        <w:t>Existing features partly or fully covering the use case functionality</w:t>
      </w:r>
    </w:p>
    <w:p>
      <w:pPr>
        <w:rPr>
          <w:lang w:val="en-US" w:eastAsia="zh-CN"/>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rFonts w:eastAsia="宋体"/>
          <w:lang w:val="en-US" w:eastAsia="zh-CN"/>
        </w:rPr>
        <w:t xml:space="preserve"> [14]</w:t>
      </w:r>
      <w:r>
        <w:rPr>
          <w:lang w:eastAsia="zh-Hans"/>
        </w:rPr>
        <w:t>,</w:t>
      </w:r>
      <w:r>
        <w:t xml:space="preserve"> </w:t>
      </w:r>
      <w:r>
        <w:rPr>
          <w:rFonts w:hint="eastAsia"/>
          <w:lang w:val="en-US" w:eastAsia="zh-CN"/>
        </w:rPr>
        <w:t xml:space="preserve">clause 6.1.2.2 on management </w:t>
      </w:r>
      <w:r>
        <w:rPr>
          <w:rFonts w:hint="eastAsia" w:eastAsia="宋体"/>
          <w:lang w:val="en-US" w:eastAsia="zh-CN"/>
        </w:rPr>
        <w:t>include the following requirements</w:t>
      </w:r>
      <w:r>
        <w:t>:</w:t>
      </w:r>
    </w:p>
    <w:p>
      <w:r>
        <w:t>The 5G system shall allow the operator to create, modify, and delete a network slice.</w:t>
      </w:r>
    </w:p>
    <w:p>
      <w:r>
        <w:t>The 5G system shall allow the operator to define and update the set of services and capabilities supported in a network slice.</w:t>
      </w:r>
    </w:p>
    <w:p>
      <w:r>
        <w:t>The 5G system shall allow the operator to configure the information which associates a UE to a network slice.</w:t>
      </w:r>
    </w:p>
    <w:p>
      <w:r>
        <w:t>The 5G system shall allow the operator to configure the information which associates a service to a network slice.</w:t>
      </w:r>
    </w:p>
    <w:p>
      <w:r>
        <w:t>Traffic and services in one network slice shall have no impact on traffic and services in other network slices in the same network.</w:t>
      </w:r>
    </w:p>
    <w:p>
      <w:r>
        <w:t>Creation, modification, and deletion of a network slice shall have no or minimal impact on traffic and services in other network slices in the same network.</w:t>
      </w:r>
    </w:p>
    <w:p>
      <w:r>
        <w:t>The 5G system shall support scaling of a network slice, i.e. adaptation of its capacity.</w:t>
      </w:r>
    </w:p>
    <w:p>
      <w:r>
        <w:t>The 5G system shall enable the network operator to define a minimum available capacity for a network slice. Scaling of other network slices on the same network shall have no impact on the availability of the minimum capacity for that network slice.</w:t>
      </w:r>
    </w:p>
    <w:p>
      <w:r>
        <w:t>The 5G system shall enable the network operator to define a maximum capacity (e.g., number of UEs, number of data sessions)  for a network slice.</w:t>
      </w:r>
    </w:p>
    <w:p>
      <w:r>
        <w:t>The 5G system shall enable the network operator to define a priority order between different network slices in case multiple network slices compete for resources on the same network.</w:t>
      </w:r>
    </w:p>
    <w:p>
      <w:pPr>
        <w:rPr>
          <w:lang w:val="en-US" w:eastAsia="zh-CN"/>
        </w:rPr>
      </w:pPr>
      <w:r>
        <w:t>The 5G system shall support means by which the operator can differentiate policy control, functionality and performance provided in different network slices.</w:t>
      </w:r>
    </w:p>
    <w:p>
      <w:pPr>
        <w:rPr>
          <w:lang w:val="en-US" w:eastAsia="zh-CN"/>
        </w:rPr>
      </w:pPr>
    </w:p>
    <w:p>
      <w:pPr>
        <w:spacing w:after="0"/>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rFonts w:eastAsia="宋体"/>
          <w:lang w:val="en-US" w:eastAsia="zh-CN"/>
        </w:rPr>
        <w:t xml:space="preserve"> [14]</w:t>
      </w:r>
      <w:r>
        <w:rPr>
          <w:lang w:eastAsia="zh-Hans"/>
        </w:rPr>
        <w:t>,</w:t>
      </w:r>
      <w:r>
        <w:t xml:space="preserve"> </w:t>
      </w:r>
      <w:r>
        <w:rPr>
          <w:rFonts w:hint="eastAsia"/>
          <w:lang w:val="en-US" w:eastAsia="zh-CN"/>
        </w:rPr>
        <w:t xml:space="preserve">clause 6.10.2 on requirements for network capability exposure </w:t>
      </w:r>
      <w:r>
        <w:rPr>
          <w:rFonts w:hint="eastAsia" w:eastAsia="宋体"/>
          <w:lang w:val="en-US" w:eastAsia="zh-CN"/>
        </w:rPr>
        <w:t>include the following requirements</w:t>
      </w:r>
      <w:r>
        <w:t>:</w:t>
      </w:r>
    </w:p>
    <w:p>
      <w:pPr>
        <w:rPr>
          <w:lang w:eastAsia="zh-CN"/>
        </w:rPr>
      </w:pPr>
      <w:r>
        <w:rPr>
          <w:lang w:eastAsia="zh-CN"/>
        </w:rPr>
        <w:t>Based on operator policy, the 5G network shall provide suitable APIs to allow a trusted third-party to define and update the set of services and capabilities supported in a network slice</w:t>
      </w:r>
      <w:r>
        <w:t xml:space="preserve"> </w:t>
      </w:r>
      <w:r>
        <w:rPr>
          <w:lang w:eastAsia="zh-CN"/>
        </w:rPr>
        <w:t>used for the third-party.</w:t>
      </w:r>
    </w:p>
    <w:p>
      <w:pPr>
        <w:rPr>
          <w:lang w:eastAsia="zh-CN"/>
        </w:rPr>
      </w:pPr>
      <w:r>
        <w:rPr>
          <w:lang w:eastAsia="zh-CN"/>
        </w:rPr>
        <w:t>Based on operator policy, the 5G network shall provide suitable APIs to allow a trusted third-party to configure the information which associates a service to a network slice used for the third-party.</w:t>
      </w:r>
    </w:p>
    <w:p>
      <w:r>
        <w:rPr>
          <w:lang w:eastAsia="zh-CN"/>
        </w:rPr>
        <w:t>Based on operator policy, a 5G</w:t>
      </w:r>
      <w:r>
        <w:t xml:space="preserve"> </w:t>
      </w:r>
      <w:r>
        <w:rPr>
          <w:lang w:eastAsia="zh-CN"/>
        </w:rPr>
        <w:t>network</w:t>
      </w:r>
      <w:r>
        <w:t xml:space="preserve"> shall provide suitable APIs to allow a trusted </w:t>
      </w:r>
      <w:r>
        <w:rPr>
          <w:lang w:eastAsia="zh-CN"/>
        </w:rPr>
        <w:t>third-party</w:t>
      </w:r>
      <w:r>
        <w:t xml:space="preserve"> to create, modify, and delete network slices used for the </w:t>
      </w:r>
      <w:r>
        <w:rPr>
          <w:lang w:eastAsia="zh-CN"/>
        </w:rPr>
        <w:t>third-party</w:t>
      </w:r>
      <w:r>
        <w:t>.</w:t>
      </w:r>
    </w:p>
    <w:p>
      <w:pPr>
        <w:rPr>
          <w:lang w:eastAsia="zh-CN"/>
        </w:rPr>
      </w:pPr>
      <w:r>
        <w:rPr>
          <w:lang w:eastAsia="zh-CN"/>
        </w:rPr>
        <w:t>Based on operator policy, the 5G network shall provide suitable APIs to allow a trusted third-party to monitor the network slice used for the third-party.</w:t>
      </w:r>
    </w:p>
    <w:p>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pPr>
        <w:spacing w:after="0"/>
      </w:pPr>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pPr>
        <w:spacing w:after="0"/>
      </w:pPr>
    </w:p>
    <w:p>
      <w:pPr>
        <w:spacing w:after="0"/>
        <w:rPr>
          <w:rFonts w:eastAsia="宋体"/>
          <w:lang w:val="en-US" w:eastAsia="zh-CN"/>
        </w:rPr>
      </w:pPr>
      <w:r>
        <w:rPr>
          <w:rFonts w:hint="eastAsia" w:eastAsia="宋体"/>
          <w:lang w:val="en-US" w:eastAsia="zh-CN"/>
        </w:rPr>
        <w:t xml:space="preserve">As we can see, the 5G network allow a trusted third party to monitor the resource utilization of the network service. The monitoring does not support the prediction of the  network performance data (e.g. latency, reliability and resource usage). </w:t>
      </w:r>
    </w:p>
    <w:p>
      <w:pPr>
        <w:spacing w:after="0"/>
        <w:rPr>
          <w:lang w:val="en-US" w:eastAsia="zh-CN"/>
        </w:rPr>
      </w:pPr>
    </w:p>
    <w:p>
      <w:pPr>
        <w:pStyle w:val="4"/>
        <w:rPr>
          <w:lang w:val="en-US"/>
        </w:rPr>
      </w:pPr>
      <w:r>
        <w:rPr>
          <w:rFonts w:hint="eastAsia"/>
          <w:lang w:val="en-US" w:eastAsia="zh-CN"/>
        </w:rPr>
        <w:t>11</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jc w:val="both"/>
        <w:rPr>
          <w:lang w:val="en-US" w:eastAsia="zh-CN" w:bidi="ar"/>
        </w:rPr>
      </w:pPr>
      <w:r>
        <w:rPr>
          <w:lang w:val="en-US" w:eastAsia="zh-CN" w:bidi="ar"/>
        </w:rPr>
        <w:t>[PR.</w:t>
      </w:r>
      <w:r>
        <w:rPr>
          <w:rFonts w:hint="eastAsia"/>
          <w:lang w:val="en-US" w:eastAsia="zh-CN" w:bidi="ar"/>
        </w:rPr>
        <w:t>11</w:t>
      </w:r>
      <w:r>
        <w:rPr>
          <w:lang w:val="en-US" w:eastAsia="zh-CN" w:bidi="ar"/>
        </w:rPr>
        <w:t>.</w:t>
      </w:r>
      <w:r>
        <w:rPr>
          <w:rFonts w:hint="eastAsia"/>
          <w:lang w:val="en-US" w:eastAsia="zh-CN" w:bidi="ar"/>
        </w:rPr>
        <w:t>x</w:t>
      </w:r>
      <w:bookmarkStart w:id="0" w:name="_GoBack"/>
      <w:bookmarkEnd w:id="0"/>
      <w:r>
        <w:rPr>
          <w:lang w:val="en-US" w:eastAsia="zh-CN" w:bidi="ar"/>
        </w:rPr>
        <w:t>.6-1]</w:t>
      </w:r>
      <w:r>
        <w:rPr>
          <w:lang w:val="en-US" w:eastAsia="zh-CN" w:bidi="ar"/>
        </w:rPr>
        <w:tab/>
      </w:r>
      <w:r>
        <w:rPr>
          <w:lang w:val="en-US" w:eastAsia="zh-CN" w:bidi="ar"/>
        </w:rPr>
        <w:t xml:space="preserve">Subject to operator’s policy, the </w:t>
      </w:r>
      <w:r>
        <w:rPr>
          <w:rFonts w:hint="eastAsia"/>
          <w:lang w:val="en-US" w:eastAsia="zh-CN" w:bidi="ar"/>
        </w:rPr>
        <w:t>6</w:t>
      </w:r>
      <w:r>
        <w:rPr>
          <w:lang w:val="en-US" w:eastAsia="zh-CN" w:bidi="ar"/>
        </w:rPr>
        <w:t xml:space="preserve">G network shall </w:t>
      </w:r>
      <w:r>
        <w:rPr>
          <w:rFonts w:eastAsia="宋体"/>
          <w:lang w:val="en-US" w:eastAsia="zh-CN" w:bidi="ar"/>
        </w:rPr>
        <w:t xml:space="preserve">be able to </w:t>
      </w:r>
      <w:r>
        <w:rPr>
          <w:lang w:val="en-US" w:eastAsia="zh-CN" w:bidi="ar"/>
        </w:rPr>
        <w:t xml:space="preserve">expose information related to </w:t>
      </w:r>
      <w:r>
        <w:rPr>
          <w:rFonts w:hint="eastAsia"/>
          <w:lang w:val="en-US" w:eastAsia="zh-CN" w:bidi="ar"/>
        </w:rPr>
        <w:t xml:space="preserve">a </w:t>
      </w:r>
      <w:r>
        <w:rPr>
          <w:lang w:val="en-US" w:eastAsia="zh-CN" w:bidi="ar"/>
        </w:rPr>
        <w:t xml:space="preserve">network </w:t>
      </w:r>
      <w:r>
        <w:rPr>
          <w:rFonts w:hint="eastAsia"/>
          <w:lang w:val="en-US" w:eastAsia="zh-CN" w:bidi="ar"/>
        </w:rPr>
        <w:t xml:space="preserve">slice </w:t>
      </w:r>
      <w:r>
        <w:rPr>
          <w:lang w:val="en-US" w:eastAsia="zh-CN" w:bidi="ar"/>
        </w:rPr>
        <w:t xml:space="preserve">(e.g. current or predicted </w:t>
      </w:r>
      <w:r>
        <w:rPr>
          <w:rFonts w:hint="eastAsia"/>
          <w:color w:val="000000"/>
          <w:szCs w:val="24"/>
          <w:lang w:val="en-US" w:eastAsia="zh-CN"/>
        </w:rPr>
        <w:t>latency and reliability</w:t>
      </w:r>
      <w:r>
        <w:rPr>
          <w:color w:val="000000"/>
          <w:szCs w:val="24"/>
          <w:lang w:val="en-US" w:eastAsia="zh-CN"/>
        </w:rPr>
        <w:t>)</w:t>
      </w:r>
      <w:r>
        <w:rPr>
          <w:rFonts w:hint="eastAsia"/>
          <w:lang w:val="en-US" w:eastAsia="zh-CN" w:bidi="ar"/>
        </w:rPr>
        <w:t xml:space="preserve"> </w:t>
      </w:r>
      <w:r>
        <w:rPr>
          <w:lang w:val="en-US" w:eastAsia="zh-CN" w:bidi="ar"/>
        </w:rPr>
        <w:t>to</w:t>
      </w:r>
      <w:r>
        <w:rPr>
          <w:rFonts w:hint="eastAsia"/>
          <w:lang w:val="en-US" w:eastAsia="zh-CN" w:bidi="ar"/>
        </w:rPr>
        <w:t xml:space="preserve"> the authorized third party. </w:t>
      </w:r>
    </w:p>
    <w:p>
      <w:pPr>
        <w:spacing w:after="0"/>
        <w:jc w:val="both"/>
        <w:rPr>
          <w:lang w:val="en-US" w:eastAsia="zh-CN" w:bidi="ar"/>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84AEBB"/>
    <w:multiLevelType w:val="singleLevel"/>
    <w:tmpl w:val="4C84AEBB"/>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26DD"/>
    <w:rsid w:val="0002503B"/>
    <w:rsid w:val="00026C30"/>
    <w:rsid w:val="00027666"/>
    <w:rsid w:val="00033242"/>
    <w:rsid w:val="00033C78"/>
    <w:rsid w:val="00034FC2"/>
    <w:rsid w:val="00044844"/>
    <w:rsid w:val="00050549"/>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3BBC"/>
    <w:rsid w:val="00284B29"/>
    <w:rsid w:val="002878F2"/>
    <w:rsid w:val="002910C0"/>
    <w:rsid w:val="0029512D"/>
    <w:rsid w:val="0029781B"/>
    <w:rsid w:val="002A6978"/>
    <w:rsid w:val="002A6A22"/>
    <w:rsid w:val="002B30DC"/>
    <w:rsid w:val="002B66B5"/>
    <w:rsid w:val="002C0B26"/>
    <w:rsid w:val="002C3678"/>
    <w:rsid w:val="002C613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64E7B"/>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75834"/>
    <w:rsid w:val="00483CE8"/>
    <w:rsid w:val="00484287"/>
    <w:rsid w:val="00484761"/>
    <w:rsid w:val="00484C93"/>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46228"/>
    <w:rsid w:val="00550E1A"/>
    <w:rsid w:val="00551668"/>
    <w:rsid w:val="00553BBE"/>
    <w:rsid w:val="00556BEB"/>
    <w:rsid w:val="005651D4"/>
    <w:rsid w:val="005677FF"/>
    <w:rsid w:val="00570264"/>
    <w:rsid w:val="00580A53"/>
    <w:rsid w:val="00581DE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0B3B"/>
    <w:rsid w:val="005F29C0"/>
    <w:rsid w:val="006035F0"/>
    <w:rsid w:val="006037BE"/>
    <w:rsid w:val="006044E7"/>
    <w:rsid w:val="00606A0F"/>
    <w:rsid w:val="00614AD9"/>
    <w:rsid w:val="00615E56"/>
    <w:rsid w:val="00617E63"/>
    <w:rsid w:val="00623FBE"/>
    <w:rsid w:val="0062719B"/>
    <w:rsid w:val="00632611"/>
    <w:rsid w:val="0063435E"/>
    <w:rsid w:val="00643430"/>
    <w:rsid w:val="006531FF"/>
    <w:rsid w:val="00653D48"/>
    <w:rsid w:val="00661E6E"/>
    <w:rsid w:val="00662BA3"/>
    <w:rsid w:val="006650BB"/>
    <w:rsid w:val="00666BB6"/>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01C"/>
    <w:rsid w:val="006C42DE"/>
    <w:rsid w:val="006C481F"/>
    <w:rsid w:val="006C55F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77525"/>
    <w:rsid w:val="00786388"/>
    <w:rsid w:val="007912EF"/>
    <w:rsid w:val="00791772"/>
    <w:rsid w:val="0079588F"/>
    <w:rsid w:val="007961BA"/>
    <w:rsid w:val="007A440E"/>
    <w:rsid w:val="007B56A9"/>
    <w:rsid w:val="007C76E6"/>
    <w:rsid w:val="007D298D"/>
    <w:rsid w:val="007D5D1D"/>
    <w:rsid w:val="007E475C"/>
    <w:rsid w:val="007E5F35"/>
    <w:rsid w:val="007E6841"/>
    <w:rsid w:val="007F080D"/>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36688"/>
    <w:rsid w:val="0084263A"/>
    <w:rsid w:val="00847504"/>
    <w:rsid w:val="00850F25"/>
    <w:rsid w:val="00853578"/>
    <w:rsid w:val="0085412C"/>
    <w:rsid w:val="00862D67"/>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B7EC2"/>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2AA3"/>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61B"/>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1FFE"/>
    <w:rsid w:val="00AA7011"/>
    <w:rsid w:val="00AA75BA"/>
    <w:rsid w:val="00AB0866"/>
    <w:rsid w:val="00AB0EDD"/>
    <w:rsid w:val="00AB1F17"/>
    <w:rsid w:val="00AC0DF5"/>
    <w:rsid w:val="00AC4BDB"/>
    <w:rsid w:val="00AC5793"/>
    <w:rsid w:val="00AD0317"/>
    <w:rsid w:val="00AE04BB"/>
    <w:rsid w:val="00AE2FD4"/>
    <w:rsid w:val="00AE5E67"/>
    <w:rsid w:val="00AF5B15"/>
    <w:rsid w:val="00AF7DB7"/>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51610"/>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E7FE9"/>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0BBC"/>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0F5189"/>
    <w:rsid w:val="013136A6"/>
    <w:rsid w:val="03D7529C"/>
    <w:rsid w:val="045831EC"/>
    <w:rsid w:val="04A92FC2"/>
    <w:rsid w:val="05C96DAF"/>
    <w:rsid w:val="05FF09ED"/>
    <w:rsid w:val="07ED60C3"/>
    <w:rsid w:val="0A200ACB"/>
    <w:rsid w:val="0F5259C7"/>
    <w:rsid w:val="112612D6"/>
    <w:rsid w:val="120A0CD3"/>
    <w:rsid w:val="155935BC"/>
    <w:rsid w:val="179F1BA0"/>
    <w:rsid w:val="1ECB20C9"/>
    <w:rsid w:val="20B971DB"/>
    <w:rsid w:val="20E76408"/>
    <w:rsid w:val="22583D96"/>
    <w:rsid w:val="22EA2AAB"/>
    <w:rsid w:val="24146423"/>
    <w:rsid w:val="24A92FE6"/>
    <w:rsid w:val="250D0818"/>
    <w:rsid w:val="26BE1287"/>
    <w:rsid w:val="276F44C8"/>
    <w:rsid w:val="280017D8"/>
    <w:rsid w:val="2ADF47E1"/>
    <w:rsid w:val="2BF670C2"/>
    <w:rsid w:val="2EB262B9"/>
    <w:rsid w:val="2F956FA1"/>
    <w:rsid w:val="316867E0"/>
    <w:rsid w:val="37290060"/>
    <w:rsid w:val="3B117B1E"/>
    <w:rsid w:val="3B335DC2"/>
    <w:rsid w:val="3BA645B8"/>
    <w:rsid w:val="3D44653B"/>
    <w:rsid w:val="3E5E705F"/>
    <w:rsid w:val="3F9A3256"/>
    <w:rsid w:val="44EC107E"/>
    <w:rsid w:val="45232CF2"/>
    <w:rsid w:val="47430C36"/>
    <w:rsid w:val="4A585B81"/>
    <w:rsid w:val="4A662188"/>
    <w:rsid w:val="4B324538"/>
    <w:rsid w:val="4B3E0396"/>
    <w:rsid w:val="4D1473C4"/>
    <w:rsid w:val="4DE44058"/>
    <w:rsid w:val="4FB17E6E"/>
    <w:rsid w:val="4FE30EBF"/>
    <w:rsid w:val="508504ED"/>
    <w:rsid w:val="5A406D40"/>
    <w:rsid w:val="5AA23883"/>
    <w:rsid w:val="5B356255"/>
    <w:rsid w:val="5D434CB0"/>
    <w:rsid w:val="5EAE3136"/>
    <w:rsid w:val="5F33784A"/>
    <w:rsid w:val="61187A54"/>
    <w:rsid w:val="619E51F5"/>
    <w:rsid w:val="62CA0E04"/>
    <w:rsid w:val="62D73C53"/>
    <w:rsid w:val="650937EC"/>
    <w:rsid w:val="650D7923"/>
    <w:rsid w:val="662035B0"/>
    <w:rsid w:val="682C76DB"/>
    <w:rsid w:val="693F7B18"/>
    <w:rsid w:val="6A8A0B03"/>
    <w:rsid w:val="6AD56B5E"/>
    <w:rsid w:val="6CAD26FC"/>
    <w:rsid w:val="6FBE6AE5"/>
    <w:rsid w:val="71D0040F"/>
    <w:rsid w:val="71D73D5F"/>
    <w:rsid w:val="72C21BA2"/>
    <w:rsid w:val="72E926FA"/>
    <w:rsid w:val="73E71B23"/>
    <w:rsid w:val="74BA5E5C"/>
    <w:rsid w:val="7F565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16"/>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1">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3"/>
    <w:qFormat/>
    <w:uiPriority w:val="0"/>
    <w:pPr>
      <w:spacing w:after="0"/>
    </w:pPr>
    <w:rPr>
      <w:sz w:val="18"/>
      <w:szCs w:val="18"/>
    </w:rPr>
  </w:style>
  <w:style w:type="paragraph" w:styleId="7">
    <w:name w:val="footer"/>
    <w:basedOn w:val="1"/>
    <w:link w:val="25"/>
    <w:qFormat/>
    <w:uiPriority w:val="0"/>
    <w:pPr>
      <w:tabs>
        <w:tab w:val="center" w:pos="4153"/>
        <w:tab w:val="right" w:pos="8306"/>
      </w:tabs>
      <w:snapToGrid w:val="0"/>
    </w:pPr>
    <w:rPr>
      <w:sz w:val="18"/>
      <w:szCs w:val="18"/>
    </w:rPr>
  </w:style>
  <w:style w:type="paragraph" w:styleId="8">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character" w:styleId="12">
    <w:name w:val="Hyperlink"/>
    <w:qFormat/>
    <w:uiPriority w:val="0"/>
    <w:rPr>
      <w:color w:val="0563C1"/>
      <w:u w:val="single"/>
    </w:rPr>
  </w:style>
  <w:style w:type="character" w:customStyle="1" w:styleId="13">
    <w:name w:val="批注框文本 字符"/>
    <w:link w:val="6"/>
    <w:qFormat/>
    <w:uiPriority w:val="0"/>
    <w:rPr>
      <w:rFonts w:eastAsia="Times New Roman"/>
      <w:sz w:val="18"/>
      <w:szCs w:val="18"/>
      <w:lang w:val="en-GB" w:eastAsia="en-US"/>
    </w:rPr>
  </w:style>
  <w:style w:type="paragraph" w:customStyle="1" w:styleId="14">
    <w:name w:val="_Style 15"/>
    <w:basedOn w:val="1"/>
    <w:semiHidden/>
    <w:qFormat/>
    <w:uiPriority w:val="0"/>
    <w:pPr>
      <w:spacing w:after="160" w:line="240" w:lineRule="exact"/>
    </w:pPr>
    <w:rPr>
      <w:rFonts w:ascii="Arial" w:hAnsi="Arial" w:eastAsia="宋体"/>
      <w:szCs w:val="22"/>
      <w:lang w:val="en-US"/>
    </w:rPr>
  </w:style>
  <w:style w:type="character" w:customStyle="1" w:styleId="15">
    <w:name w:val="标题 2 字符"/>
    <w:link w:val="3"/>
    <w:qFormat/>
    <w:uiPriority w:val="0"/>
    <w:rPr>
      <w:rFonts w:ascii="Arial" w:hAnsi="Arial" w:eastAsia="Times New Roman"/>
      <w:sz w:val="32"/>
    </w:rPr>
  </w:style>
  <w:style w:type="character" w:customStyle="1" w:styleId="16">
    <w:name w:val="标题 3 字符"/>
    <w:link w:val="4"/>
    <w:qFormat/>
    <w:uiPriority w:val="0"/>
    <w:rPr>
      <w:rFonts w:ascii="Arial" w:hAnsi="Arial" w:eastAsia="Times New Roman"/>
      <w:sz w:val="28"/>
    </w:rPr>
  </w:style>
  <w:style w:type="paragraph" w:customStyle="1" w:styleId="17">
    <w:name w:val="B1"/>
    <w:basedOn w:val="9"/>
    <w:qFormat/>
    <w:uiPriority w:val="0"/>
    <w:pPr>
      <w:ind w:left="568" w:hanging="284"/>
    </w:pPr>
  </w:style>
  <w:style w:type="paragraph" w:customStyle="1" w:styleId="18">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19">
    <w:name w:val="TAH"/>
    <w:basedOn w:val="20"/>
    <w:qFormat/>
    <w:uiPriority w:val="0"/>
    <w:rPr>
      <w:b/>
    </w:rPr>
  </w:style>
  <w:style w:type="paragraph" w:customStyle="1" w:styleId="20">
    <w:name w:val="TAC"/>
    <w:basedOn w:val="18"/>
    <w:qFormat/>
    <w:uiPriority w:val="0"/>
    <w:pPr>
      <w:jc w:val="center"/>
    </w:pPr>
  </w:style>
  <w:style w:type="paragraph" w:customStyle="1" w:styleId="21">
    <w:name w:val="TAN"/>
    <w:basedOn w:val="18"/>
    <w:qFormat/>
    <w:uiPriority w:val="0"/>
    <w:pPr>
      <w:ind w:left="851" w:hanging="851"/>
    </w:pPr>
  </w:style>
  <w:style w:type="character" w:customStyle="1" w:styleId="22">
    <w:name w:val="标题 1 字符"/>
    <w:link w:val="2"/>
    <w:qFormat/>
    <w:uiPriority w:val="0"/>
    <w:rPr>
      <w:rFonts w:eastAsia="Times New Roman"/>
      <w:b/>
      <w:bCs/>
      <w:kern w:val="44"/>
      <w:sz w:val="44"/>
      <w:szCs w:val="44"/>
      <w:lang w:val="en-GB" w:eastAsia="en-US"/>
    </w:rPr>
  </w:style>
  <w:style w:type="paragraph" w:customStyle="1" w:styleId="23">
    <w:name w:val="EX"/>
    <w:basedOn w:val="1"/>
    <w:qFormat/>
    <w:uiPriority w:val="0"/>
    <w:pPr>
      <w:keepLines/>
      <w:ind w:left="1702" w:hanging="1418"/>
    </w:pPr>
    <w:rPr>
      <w:rFonts w:eastAsia="宋体"/>
    </w:rPr>
  </w:style>
  <w:style w:type="character" w:customStyle="1" w:styleId="24">
    <w:name w:val="页眉 字符"/>
    <w:link w:val="8"/>
    <w:qFormat/>
    <w:uiPriority w:val="0"/>
    <w:rPr>
      <w:rFonts w:eastAsia="Times New Roman"/>
      <w:sz w:val="18"/>
      <w:szCs w:val="18"/>
      <w:lang w:val="en-GB" w:eastAsia="en-US"/>
    </w:rPr>
  </w:style>
  <w:style w:type="character" w:customStyle="1" w:styleId="25">
    <w:name w:val="页脚 字符"/>
    <w:link w:val="7"/>
    <w:qFormat/>
    <w:uiPriority w:val="0"/>
    <w:rPr>
      <w:rFonts w:eastAsia="Times New Roman"/>
      <w:sz w:val="18"/>
      <w:szCs w:val="18"/>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3</Pages>
  <Words>1390</Words>
  <Characters>7925</Characters>
  <Lines>66</Lines>
  <Paragraphs>18</Paragraphs>
  <TotalTime>5</TotalTime>
  <ScaleCrop>false</ScaleCrop>
  <LinksUpToDate>false</LinksUpToDate>
  <CharactersWithSpaces>9297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2025-08-28T17:32:00Z</dcterms:created>
  <dc:creator>00015047.A25449982</dc:creator>
  <cp:lastModifiedBy>ZTE-Chen Lin</cp:lastModifiedBy>
  <dcterms:modified xsi:type="dcterms:W3CDTF">2025-08-29T10:56:43Z</dcterms:modified>
  <dc:title>3GPP TSG-SA1 #109</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DD40372968B64C3A81578DA579491C02</vt:lpwstr>
  </property>
</Properties>
</file>